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right="-9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80" w:right="-900" w:firstLine="0"/>
        <w:jc w:val="center"/>
        <w:rPr/>
      </w:pPr>
      <w:r w:rsidDel="00000000" w:rsidR="00000000" w:rsidRPr="00000000">
        <w:rPr>
          <w:rtl w:val="0"/>
        </w:rPr>
        <w:t xml:space="preserve">Williamson County Special Education District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411 South Court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Marion, Illinois 62959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618-993-2138 (Telephone &amp; TDD)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618-997-3950 (Fax)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INFORMATION SHEET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To:       Executive Board Members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From:   Jami Hodge, Director                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Re:</w:t>
        <w:tab/>
        <w:t xml:space="preserve">Information Sheet for December 13, 2024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(a)</w:t>
        <w:tab/>
        <w:t xml:space="preserve">1.</w:t>
        <w:tab/>
        <w:t xml:space="preserve">Call to Order/Roll Call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2.</w:t>
        <w:tab/>
        <w:t xml:space="preserve">Visitor Participation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(a)</w:t>
        <w:tab/>
        <w:t xml:space="preserve">3.</w:t>
        <w:tab/>
        <w:t xml:space="preserve">Consent Agenda 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 xml:space="preserve">a.  Minutes of Previous Meeting</w:t>
        <w:tab/>
        <w:tab/>
        <w:tab/>
        <w:tab/>
        <w:tab/>
        <w:t xml:space="preserve">Attachment #1</w:t>
      </w:r>
    </w:p>
    <w:p w:rsidR="00000000" w:rsidDel="00000000" w:rsidP="00000000" w:rsidRDefault="00000000" w:rsidRPr="00000000" w14:paraId="00000014">
      <w:pPr>
        <w:ind w:left="720" w:firstLine="720"/>
        <w:rPr/>
      </w:pPr>
      <w:r w:rsidDel="00000000" w:rsidR="00000000" w:rsidRPr="00000000">
        <w:rPr>
          <w:rtl w:val="0"/>
        </w:rPr>
        <w:t xml:space="preserve">b.  Bills Payable</w:t>
        <w:tab/>
        <w:tab/>
        <w:tab/>
        <w:tab/>
        <w:t xml:space="preserve"> </w:t>
        <w:tab/>
        <w:tab/>
        <w:tab/>
        <w:t xml:space="preserve">Attachment #2</w:t>
      </w:r>
    </w:p>
    <w:p w:rsidR="00000000" w:rsidDel="00000000" w:rsidP="00000000" w:rsidRDefault="00000000" w:rsidRPr="00000000" w14:paraId="00000015">
      <w:pPr>
        <w:ind w:left="1800" w:hanging="360"/>
        <w:rPr/>
      </w:pPr>
      <w:r w:rsidDel="00000000" w:rsidR="00000000" w:rsidRPr="00000000">
        <w:rPr>
          <w:rtl w:val="0"/>
        </w:rPr>
        <w:t xml:space="preserve">c.  Financial Report </w:t>
        <w:tab/>
        <w:tab/>
        <w:tab/>
        <w:tab/>
        <w:t xml:space="preserve"> </w:t>
        <w:tab/>
        <w:tab/>
        <w:tab/>
        <w:t xml:space="preserve">Attachment #3</w:t>
      </w:r>
    </w:p>
    <w:p w:rsidR="00000000" w:rsidDel="00000000" w:rsidP="00000000" w:rsidRDefault="00000000" w:rsidRPr="00000000" w14:paraId="00000016">
      <w:pPr>
        <w:ind w:left="1800" w:hanging="360"/>
        <w:rPr/>
      </w:pPr>
      <w:r w:rsidDel="00000000" w:rsidR="00000000" w:rsidRPr="00000000">
        <w:rPr>
          <w:rtl w:val="0"/>
        </w:rPr>
        <w:t xml:space="preserve">d.  Treasurer’s Report</w:t>
        <w:tab/>
        <w:tab/>
        <w:tab/>
        <w:tab/>
        <w:t xml:space="preserve"> </w:t>
        <w:tab/>
        <w:tab/>
        <w:tab/>
        <w:t xml:space="preserve">Attachment #4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4.         New Business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(a)</w:t>
        <w:tab/>
        <w:tab/>
        <w:t xml:space="preserve">a.  Personnel</w:t>
        <w:tab/>
        <w:tab/>
        <w:tab/>
        <w:tab/>
        <w:tab/>
        <w:tab/>
        <w:tab/>
        <w:tab/>
        <w:t xml:space="preserve">Attachment #5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 xml:space="preserve">b.  Transportation Costs November 2024</w:t>
        <w:tab/>
        <w:tab/>
        <w:tab/>
        <w:tab/>
        <w:t xml:space="preserve">Attachment #6</w:t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c.  FY25 IDEA Final Allocations</w:t>
        <w:tab/>
        <w:tab/>
        <w:tab/>
        <w:tab/>
        <w:tab/>
        <w:t xml:space="preserve">Attachment #7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  <w:t xml:space="preserve">d.  FY24 WCES - WCCTE Audit Report    </w:t>
        <w:tab/>
        <w:tab/>
        <w:tab/>
        <w:tab/>
        <w:t xml:space="preserve">Attachment #8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 xml:space="preserve">e.  District Substitute Rates</w:t>
        <w:tab/>
        <w:tab/>
        <w:tab/>
        <w:tab/>
        <w:tab/>
        <w:tab/>
        <w:t xml:space="preserve">Attachment #9 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ab/>
        <w:t xml:space="preserve">Director’s Report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(a)       6.        Adjourn</w:t>
      </w:r>
    </w:p>
    <w:sectPr>
      <w:pgSz w:h="15840" w:w="12240" w:orient="portrait"/>
      <w:pgMar w:bottom="432" w:top="432" w:left="1627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144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80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